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3E3826" w14:paraId="0718FE62" w14:textId="77777777" w:rsidTr="003E3826">
        <w:trPr>
          <w:trHeight w:val="1080"/>
        </w:trPr>
        <w:tc>
          <w:tcPr>
            <w:tcW w:w="5485" w:type="dxa"/>
          </w:tcPr>
          <w:p w14:paraId="42EBB2D7" w14:textId="23012F5E" w:rsidR="003E3826" w:rsidRDefault="003E3826" w:rsidP="003E3826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F82F280" wp14:editId="5D9E120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188595</wp:posOffset>
                  </wp:positionV>
                  <wp:extent cx="2743200" cy="444500"/>
                  <wp:effectExtent l="0" t="0" r="0" b="12700"/>
                  <wp:wrapTight wrapText="bothSides">
                    <wp:wrapPolygon edited="0">
                      <wp:start x="1200" y="0"/>
                      <wp:lineTo x="200" y="6171"/>
                      <wp:lineTo x="200" y="11109"/>
                      <wp:lineTo x="1000" y="19749"/>
                      <wp:lineTo x="1200" y="20983"/>
                      <wp:lineTo x="18200" y="20983"/>
                      <wp:lineTo x="20200" y="16046"/>
                      <wp:lineTo x="21200" y="8640"/>
                      <wp:lineTo x="21000" y="0"/>
                      <wp:lineTo x="1200" y="0"/>
                    </wp:wrapPolygon>
                  </wp:wrapTight>
                  <wp:docPr id="1" name="Picture 1" descr="Macintosh HD:Users:elaynevlahaki:Dropbox:CAT PROJECTS:Current Projects:PAN REACH TOOLKIT:Reach logo:Reach2-Logo-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aynevlahaki:Dropbox:CAT PROJECTS:Current Projects:PAN REACH TOOLKIT:Reach logo:Reach2-Logo-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5" w:type="dxa"/>
            <w:vAlign w:val="bottom"/>
          </w:tcPr>
          <w:p w14:paraId="6738BF8A" w14:textId="1891BE64" w:rsidR="003E3826" w:rsidRPr="003E3826" w:rsidRDefault="003E3826" w:rsidP="003E3826">
            <w:pPr>
              <w:spacing w:after="0"/>
              <w:jc w:val="right"/>
              <w:rPr>
                <w:rFonts w:ascii="Leelawadee UI" w:hAnsi="Leelawadee UI" w:cs="Leelawadee UI"/>
                <w:b/>
              </w:rPr>
            </w:pPr>
            <w:r w:rsidRPr="003E3826">
              <w:rPr>
                <w:rFonts w:ascii="Leelawadee UI" w:hAnsi="Leelawadee UI" w:cs="Leelawadee UI"/>
                <w:b/>
                <w:sz w:val="32"/>
              </w:rPr>
              <w:t>EVALUATION TOOLKIT</w:t>
            </w:r>
          </w:p>
        </w:tc>
      </w:tr>
    </w:tbl>
    <w:p w14:paraId="5C91F388" w14:textId="77777777" w:rsidR="003E3826" w:rsidRDefault="003E3826" w:rsidP="003E3826">
      <w:pPr>
        <w:spacing w:after="0"/>
        <w:rPr>
          <w:b/>
        </w:rPr>
      </w:pPr>
    </w:p>
    <w:p w14:paraId="6DB374CE" w14:textId="4594DCEB" w:rsidR="000F56FB" w:rsidRPr="003E3826" w:rsidRDefault="000E58D1" w:rsidP="000F56FB">
      <w:pPr>
        <w:rPr>
          <w:rFonts w:ascii="Leelawadee UI" w:hAnsi="Leelawadee UI" w:cs="Leelawadee UI"/>
          <w:b/>
          <w:bCs/>
          <w:sz w:val="28"/>
          <w:szCs w:val="28"/>
        </w:rPr>
      </w:pPr>
      <w:r w:rsidRPr="003E3826">
        <w:rPr>
          <w:rFonts w:ascii="Leelawadee UI" w:hAnsi="Leelawadee UI" w:cs="Leelawadee UI"/>
          <w:b/>
          <w:bCs/>
          <w:sz w:val="28"/>
          <w:szCs w:val="28"/>
        </w:rPr>
        <w:t>WORKSHEET</w:t>
      </w:r>
      <w:r w:rsidR="000F56FB" w:rsidRPr="003E3826">
        <w:rPr>
          <w:rFonts w:ascii="Leelawadee UI" w:hAnsi="Leelawadee UI" w:cs="Leelawadee UI"/>
          <w:b/>
          <w:bCs/>
          <w:sz w:val="28"/>
          <w:szCs w:val="28"/>
        </w:rPr>
        <w:t xml:space="preserve">: </w:t>
      </w:r>
      <w:r w:rsidR="00B21A86" w:rsidRPr="003E3826">
        <w:rPr>
          <w:rFonts w:ascii="Leelawadee UI" w:hAnsi="Leelawadee UI" w:cs="Leelawadee UI"/>
          <w:b/>
          <w:bCs/>
          <w:sz w:val="28"/>
          <w:szCs w:val="28"/>
        </w:rPr>
        <w:t xml:space="preserve">ENGAGING STAKEHOLDERS </w:t>
      </w:r>
      <w:r w:rsidR="002504D0" w:rsidRPr="003E3826">
        <w:rPr>
          <w:rFonts w:ascii="Leelawadee UI" w:hAnsi="Leelawadee UI" w:cs="Leelawadee UI"/>
          <w:b/>
          <w:bCs/>
          <w:sz w:val="28"/>
          <w:szCs w:val="28"/>
        </w:rPr>
        <w:t xml:space="preserve"> </w:t>
      </w:r>
    </w:p>
    <w:p w14:paraId="200FB899" w14:textId="37C2E3C0" w:rsidR="001B17BD" w:rsidRDefault="001B17BD" w:rsidP="000F56FB">
      <w:pPr>
        <w:rPr>
          <w:rFonts w:ascii="Helvetica Neue Light" w:eastAsiaTheme="minorEastAsia" w:hAnsi="Helvetica Neue Light" w:cs="OpenSans"/>
          <w:lang w:val="en-US"/>
        </w:rPr>
      </w:pPr>
      <w:r w:rsidRPr="001B17BD">
        <w:rPr>
          <w:rFonts w:ascii="Helvetica Neue Light" w:eastAsiaTheme="minorEastAsia" w:hAnsi="Helvetica Neue Light" w:cs="OpenSans"/>
          <w:lang w:val="en-US"/>
        </w:rPr>
        <w:t>Key stakeholders should be engaged throughout all s</w:t>
      </w:r>
      <w:r>
        <w:rPr>
          <w:rFonts w:ascii="Helvetica Neue Light" w:eastAsiaTheme="minorEastAsia" w:hAnsi="Helvetica Neue Light" w:cs="OpenSans"/>
          <w:lang w:val="en-US"/>
        </w:rPr>
        <w:t xml:space="preserve">teps of the evaluation process to </w:t>
      </w:r>
      <w:r w:rsidRPr="001B17BD">
        <w:rPr>
          <w:rFonts w:ascii="Helvetica Neue Light" w:eastAsiaTheme="minorEastAsia" w:hAnsi="Helvetica Neue Light" w:cs="OpenSans"/>
          <w:lang w:val="en-US"/>
        </w:rPr>
        <w:t xml:space="preserve">improve the relevance and utilization of evaluation findings. </w:t>
      </w:r>
      <w:r w:rsidR="00F03890">
        <w:rPr>
          <w:rFonts w:ascii="Helvetica Neue Light" w:eastAsiaTheme="minorEastAsia" w:hAnsi="Helvetica Neue Light" w:cs="OpenSans"/>
          <w:lang w:val="en-US"/>
        </w:rPr>
        <w:t>As outlined in this evaluation toolkit, developing a plan to engage stakeholders should be one of the first steps in the evaluation process.</w:t>
      </w:r>
      <w:r w:rsidR="00BC55C7">
        <w:rPr>
          <w:rFonts w:ascii="Helvetica Neue Light" w:eastAsiaTheme="minorEastAsia" w:hAnsi="Helvetica Neue Light" w:cs="OpenSans"/>
          <w:lang w:val="en-US"/>
        </w:rPr>
        <w:t xml:space="preserve"> This is a living document and an important tool in your evaluation work. You should review your s</w:t>
      </w:r>
      <w:r w:rsidR="003E7D80">
        <w:rPr>
          <w:rFonts w:ascii="Helvetica Neue Light" w:eastAsiaTheme="minorEastAsia" w:hAnsi="Helvetica Neue Light" w:cs="OpenSans"/>
          <w:lang w:val="en-US"/>
        </w:rPr>
        <w:t>takeholder e</w:t>
      </w:r>
      <w:r w:rsidR="00BC55C7">
        <w:rPr>
          <w:rFonts w:ascii="Helvetica Neue Light" w:eastAsiaTheme="minorEastAsia" w:hAnsi="Helvetica Neue Light" w:cs="OpenSans"/>
          <w:lang w:val="en-US"/>
        </w:rPr>
        <w:t xml:space="preserve">ngagement </w:t>
      </w:r>
      <w:r w:rsidR="003E7D80">
        <w:rPr>
          <w:rFonts w:ascii="Helvetica Neue Light" w:eastAsiaTheme="minorEastAsia" w:hAnsi="Helvetica Neue Light" w:cs="OpenSans"/>
          <w:lang w:val="en-US"/>
        </w:rPr>
        <w:t>worksheet</w:t>
      </w:r>
      <w:r w:rsidR="00BC55C7">
        <w:rPr>
          <w:rFonts w:ascii="Helvetica Neue Light" w:eastAsiaTheme="minorEastAsia" w:hAnsi="Helvetica Neue Light" w:cs="OpenSans"/>
          <w:lang w:val="en-US"/>
        </w:rPr>
        <w:t xml:space="preserve"> throughout the course of the project and update and revise as necessary.</w:t>
      </w:r>
      <w:r w:rsidR="00F03890">
        <w:rPr>
          <w:rFonts w:ascii="Helvetica Neue Light" w:eastAsiaTheme="minorEastAsia" w:hAnsi="Helvetica Neue Light" w:cs="OpenSans"/>
          <w:lang w:val="en-US"/>
        </w:rPr>
        <w:t xml:space="preserve">  </w:t>
      </w:r>
    </w:p>
    <w:p w14:paraId="4A9182FD" w14:textId="78CFAB55" w:rsidR="00496502" w:rsidRDefault="00496502" w:rsidP="00104CF5">
      <w:pPr>
        <w:spacing w:after="0"/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>Stakeholder engagement is fundamental to evaluation because</w:t>
      </w:r>
      <w:r w:rsidR="00E95D56">
        <w:rPr>
          <w:rFonts w:ascii="Helvetica Neue Light" w:eastAsiaTheme="minorEastAsia" w:hAnsi="Helvetica Neue Light" w:cs="OpenSans"/>
          <w:lang w:val="en-US"/>
        </w:rPr>
        <w:t xml:space="preserve"> stakeholders</w:t>
      </w:r>
      <w:r>
        <w:rPr>
          <w:rFonts w:ascii="Helvetica Neue Light" w:eastAsiaTheme="minorEastAsia" w:hAnsi="Helvetica Neue Light" w:cs="OpenSans"/>
          <w:lang w:val="en-US"/>
        </w:rPr>
        <w:t>:</w:t>
      </w:r>
    </w:p>
    <w:p w14:paraId="7FFE7B4D" w14:textId="51ECCEAB" w:rsidR="00496502" w:rsidRDefault="00496502" w:rsidP="00104CF5">
      <w:pPr>
        <w:pStyle w:val="ListParagraph"/>
        <w:numPr>
          <w:ilvl w:val="0"/>
          <w:numId w:val="4"/>
        </w:numPr>
        <w:spacing w:after="0"/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>are the ones who will need to determine the focus of the evaluation;</w:t>
      </w:r>
    </w:p>
    <w:p w14:paraId="531E2185" w14:textId="04C15A74" w:rsidR="00496502" w:rsidRDefault="00496502" w:rsidP="00104CF5">
      <w:pPr>
        <w:pStyle w:val="ListParagraph"/>
        <w:numPr>
          <w:ilvl w:val="0"/>
          <w:numId w:val="4"/>
        </w:num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>have in-depth knowledge of the program or organization and the surrounding policy or social/economic contexts impacting the program;</w:t>
      </w:r>
    </w:p>
    <w:p w14:paraId="1BB47696" w14:textId="08B7CFF0" w:rsidR="00496502" w:rsidRDefault="00496502" w:rsidP="00104CF5">
      <w:pPr>
        <w:pStyle w:val="ListParagraph"/>
        <w:numPr>
          <w:ilvl w:val="0"/>
          <w:numId w:val="4"/>
        </w:num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 xml:space="preserve">have access to program records and program participants; </w:t>
      </w:r>
    </w:p>
    <w:p w14:paraId="313E400B" w14:textId="31E9D7CB" w:rsidR="00496502" w:rsidRDefault="00E95D56" w:rsidP="00104CF5">
      <w:pPr>
        <w:pStyle w:val="ListParagraph"/>
        <w:numPr>
          <w:ilvl w:val="0"/>
          <w:numId w:val="4"/>
        </w:num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>w</w:t>
      </w:r>
      <w:r w:rsidR="00496502">
        <w:rPr>
          <w:rFonts w:ascii="Helvetica Neue Light" w:eastAsiaTheme="minorEastAsia" w:hAnsi="Helvetica Neue Light" w:cs="OpenSans"/>
          <w:lang w:val="en-US"/>
        </w:rPr>
        <w:t xml:space="preserve">ill assist in understanding and contextualizing the analysis of the evaluation data; and </w:t>
      </w:r>
    </w:p>
    <w:p w14:paraId="1371DD4A" w14:textId="73085831" w:rsidR="00496502" w:rsidRPr="00104CF5" w:rsidRDefault="00496502" w:rsidP="00104CF5">
      <w:pPr>
        <w:pStyle w:val="ListParagraph"/>
        <w:numPr>
          <w:ilvl w:val="0"/>
          <w:numId w:val="4"/>
        </w:numPr>
        <w:rPr>
          <w:rFonts w:ascii="Helvetica Neue Light" w:eastAsiaTheme="minorEastAsia" w:hAnsi="Helvetica Neue Light" w:cs="OpenSans"/>
          <w:lang w:val="en-US"/>
        </w:rPr>
      </w:pPr>
      <w:proofErr w:type="gramStart"/>
      <w:r>
        <w:rPr>
          <w:rFonts w:ascii="Helvetica Neue Light" w:eastAsiaTheme="minorEastAsia" w:hAnsi="Helvetica Neue Light" w:cs="OpenSans"/>
          <w:lang w:val="en-US"/>
        </w:rPr>
        <w:t>will</w:t>
      </w:r>
      <w:proofErr w:type="gramEnd"/>
      <w:r>
        <w:rPr>
          <w:rFonts w:ascii="Helvetica Neue Light" w:eastAsiaTheme="minorEastAsia" w:hAnsi="Helvetica Neue Light" w:cs="OpenSans"/>
          <w:lang w:val="en-US"/>
        </w:rPr>
        <w:t xml:space="preserve"> ultimately use the findings and data generated from the evaluation to meet their needs. </w:t>
      </w:r>
    </w:p>
    <w:p w14:paraId="7E2C2060" w14:textId="4B5ED021" w:rsidR="00496502" w:rsidRDefault="00496502" w:rsidP="00496502">
      <w:p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>When you think about ‘who’ a stakeholder might be it is important to cast a wide net. They are individuals, groups or organizations who have a significant interest in how the program is running and its outcomes</w:t>
      </w:r>
      <w:r w:rsidR="00104CF5">
        <w:rPr>
          <w:rFonts w:ascii="Helvetica Neue Light" w:eastAsiaTheme="minorEastAsia" w:hAnsi="Helvetica Neue Light" w:cs="OpenSans"/>
          <w:lang w:val="en-US"/>
        </w:rPr>
        <w:t xml:space="preserve">. Examples </w:t>
      </w:r>
      <w:r>
        <w:rPr>
          <w:rFonts w:ascii="Helvetica Neue Light" w:eastAsiaTheme="minorEastAsia" w:hAnsi="Helvetica Neue Light" w:cs="OpenSans"/>
          <w:lang w:val="en-US"/>
        </w:rPr>
        <w:t>include: staff or service providers; project partners; funders; evaluation sponsors; program participants, clients or peers; Board of Directors or senior executives; community members; or other experts.</w:t>
      </w:r>
    </w:p>
    <w:p w14:paraId="0E61E324" w14:textId="7C25DDA6" w:rsidR="008F03FF" w:rsidRPr="00E149D3" w:rsidRDefault="008F03FF" w:rsidP="00496502">
      <w:pPr>
        <w:rPr>
          <w:rFonts w:ascii="Helvetica Neue Bold Condensed" w:hAnsi="Helvetica Neue Bold Condensed" w:cs="Arial"/>
          <w:bCs/>
          <w:sz w:val="28"/>
          <w:szCs w:val="28"/>
        </w:rPr>
      </w:pPr>
      <w:r>
        <w:rPr>
          <w:rFonts w:ascii="Helvetica Neue Light" w:eastAsiaTheme="minorEastAsia" w:hAnsi="Helvetica Neue Light" w:cs="OpenSans"/>
          <w:lang w:val="en-US"/>
        </w:rPr>
        <w:t xml:space="preserve">Finally, there are a number of key tasks that you might want to involve stakeholders in, including: providing context and understanding about the program; focusing the evaluation work and </w:t>
      </w:r>
      <w:r w:rsidR="00247A97">
        <w:rPr>
          <w:rFonts w:ascii="Helvetica Neue Light" w:eastAsiaTheme="minorEastAsia" w:hAnsi="Helvetica Neue Light" w:cs="OpenSans"/>
          <w:lang w:val="en-US"/>
        </w:rPr>
        <w:t>identifying</w:t>
      </w:r>
      <w:r>
        <w:rPr>
          <w:rFonts w:ascii="Helvetica Neue Light" w:eastAsiaTheme="minorEastAsia" w:hAnsi="Helvetica Neue Light" w:cs="OpenSans"/>
          <w:lang w:val="en-US"/>
        </w:rPr>
        <w:t xml:space="preserve"> evaluation questions; developing or reviewing the logic model; helping with the development of data collection tools; helping with data collection or accessing evaluation respondents; supporting the interpretation of findings and providing context; developing recommendations; creating action-based plans based on the findings; and disseminating the evaluation findings. Stakeholders can have different levels of involvement in an evaluation that can range from being an active </w:t>
      </w:r>
      <w:r w:rsidR="00247A97">
        <w:rPr>
          <w:rFonts w:ascii="Helvetica Neue Light" w:eastAsiaTheme="minorEastAsia" w:hAnsi="Helvetica Neue Light" w:cs="OpenSans"/>
          <w:lang w:val="en-US"/>
        </w:rPr>
        <w:t>participant</w:t>
      </w:r>
      <w:r>
        <w:rPr>
          <w:rFonts w:ascii="Helvetica Neue Light" w:eastAsiaTheme="minorEastAsia" w:hAnsi="Helvetica Neue Light" w:cs="OpenSans"/>
          <w:lang w:val="en-US"/>
        </w:rPr>
        <w:t xml:space="preserve"> in all aspects of the </w:t>
      </w:r>
      <w:r w:rsidR="00247A97">
        <w:rPr>
          <w:rFonts w:ascii="Helvetica Neue Light" w:eastAsiaTheme="minorEastAsia" w:hAnsi="Helvetica Neue Light" w:cs="OpenSans"/>
          <w:lang w:val="en-US"/>
        </w:rPr>
        <w:t>evaluation</w:t>
      </w:r>
      <w:r w:rsidR="00217E8D">
        <w:rPr>
          <w:rFonts w:ascii="Helvetica Neue Light" w:eastAsiaTheme="minorEastAsia" w:hAnsi="Helvetica Neue Light" w:cs="OpenSans"/>
          <w:lang w:val="en-US"/>
        </w:rPr>
        <w:t xml:space="preserve"> and being part of an evaluation </w:t>
      </w:r>
      <w:r w:rsidR="00BD137B">
        <w:rPr>
          <w:rFonts w:ascii="Helvetica Neue Light" w:eastAsiaTheme="minorEastAsia" w:hAnsi="Helvetica Neue Light" w:cs="OpenSans"/>
          <w:lang w:val="en-US"/>
        </w:rPr>
        <w:t xml:space="preserve">advisory </w:t>
      </w:r>
      <w:r w:rsidR="00217E8D">
        <w:rPr>
          <w:rFonts w:ascii="Helvetica Neue Light" w:eastAsiaTheme="minorEastAsia" w:hAnsi="Helvetica Neue Light" w:cs="OpenSans"/>
          <w:lang w:val="en-US"/>
        </w:rPr>
        <w:t>committee</w:t>
      </w:r>
      <w:r w:rsidR="00247A97">
        <w:rPr>
          <w:rFonts w:ascii="Helvetica Neue Light" w:eastAsiaTheme="minorEastAsia" w:hAnsi="Helvetica Neue Light" w:cs="OpenSans"/>
          <w:lang w:val="en-US"/>
        </w:rPr>
        <w:t xml:space="preserve">, to providing input occasionally, to being informed of the evaluation’s progress at a high level, to receiving the final evaluation report and summary documents. </w:t>
      </w:r>
    </w:p>
    <w:p w14:paraId="10241F70" w14:textId="167BB77A" w:rsidR="00222A2C" w:rsidRDefault="001B17BD" w:rsidP="00222A2C">
      <w:p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>A ‘stakeholder engagement worksheet’ has been provided to help your</w:t>
      </w:r>
      <w:r w:rsidRPr="001B17BD">
        <w:rPr>
          <w:rFonts w:ascii="Helvetica Neue Light" w:eastAsiaTheme="minorEastAsia" w:hAnsi="Helvetica Neue Light" w:cs="OpenSans"/>
          <w:lang w:val="en-US"/>
        </w:rPr>
        <w:t xml:space="preserve"> identify, understand and </w:t>
      </w:r>
      <w:r w:rsidR="00062B28">
        <w:rPr>
          <w:rFonts w:ascii="Helvetica Neue Light" w:eastAsiaTheme="minorEastAsia" w:hAnsi="Helvetica Neue Light" w:cs="OpenSans"/>
          <w:lang w:val="en-US"/>
        </w:rPr>
        <w:t>involve</w:t>
      </w:r>
      <w:r w:rsidRPr="001B17BD">
        <w:rPr>
          <w:rFonts w:ascii="Helvetica Neue Light" w:eastAsiaTheme="minorEastAsia" w:hAnsi="Helvetica Neue Light" w:cs="OpenSans"/>
          <w:lang w:val="en-US"/>
        </w:rPr>
        <w:t xml:space="preserve"> stakehol</w:t>
      </w:r>
      <w:r w:rsidR="00F03890">
        <w:rPr>
          <w:rFonts w:ascii="Helvetica Neue Light" w:eastAsiaTheme="minorEastAsia" w:hAnsi="Helvetica Neue Light" w:cs="OpenSans"/>
          <w:lang w:val="en-US"/>
        </w:rPr>
        <w:t xml:space="preserve">ders throughout your evaluation (see Table 1 below). Populating each of the boxes in the stakeholder engagement worksheet will </w:t>
      </w:r>
      <w:r w:rsidR="00E8589D">
        <w:rPr>
          <w:rFonts w:ascii="Helvetica Neue Light" w:eastAsiaTheme="minorEastAsia" w:hAnsi="Helvetica Neue Light" w:cs="OpenSans"/>
          <w:lang w:val="en-US"/>
        </w:rPr>
        <w:t>help you to critically think about stakeholders’ interests in the evaluation and how you can make best use of their</w:t>
      </w:r>
      <w:r w:rsidR="00C71A8F">
        <w:rPr>
          <w:rFonts w:ascii="Helvetica Neue Light" w:eastAsiaTheme="minorEastAsia" w:hAnsi="Helvetica Neue Light" w:cs="OpenSans"/>
          <w:lang w:val="en-US"/>
        </w:rPr>
        <w:t xml:space="preserve"> time and</w:t>
      </w:r>
      <w:r w:rsidR="00E8589D">
        <w:rPr>
          <w:rFonts w:ascii="Helvetica Neue Light" w:eastAsiaTheme="minorEastAsia" w:hAnsi="Helvetica Neue Light" w:cs="OpenSans"/>
          <w:lang w:val="en-US"/>
        </w:rPr>
        <w:t xml:space="preserve"> expertise. </w:t>
      </w:r>
      <w:r w:rsidR="00222A2C">
        <w:rPr>
          <w:rFonts w:ascii="Helvetica Neue Light" w:eastAsiaTheme="minorEastAsia" w:hAnsi="Helvetica Neue Light" w:cs="OpenSans"/>
          <w:lang w:val="en-US"/>
        </w:rPr>
        <w:t xml:space="preserve">Note that the REACH Evaluation Toolkit contains links to documents about stakeholder engagement if you are seeking out additional information. Click </w:t>
      </w:r>
      <w:hyperlink r:id="rId8" w:history="1">
        <w:r w:rsidR="00222A2C" w:rsidRPr="00FC23D7">
          <w:rPr>
            <w:rStyle w:val="Hyperlink"/>
            <w:rFonts w:ascii="Helvetica Neue Light" w:eastAsiaTheme="minorEastAsia" w:hAnsi="Helvetica Neue Light" w:cs="OpenSans"/>
            <w:lang w:val="en-US"/>
          </w:rPr>
          <w:t>here</w:t>
        </w:r>
      </w:hyperlink>
      <w:r w:rsidR="00222A2C">
        <w:rPr>
          <w:rFonts w:ascii="Helvetica Neue Light" w:eastAsiaTheme="minorEastAsia" w:hAnsi="Helvetica Neue Light" w:cs="OpenSans"/>
          <w:lang w:val="en-US"/>
        </w:rPr>
        <w:t xml:space="preserve"> for more information.</w:t>
      </w:r>
    </w:p>
    <w:p w14:paraId="239CEFAB" w14:textId="77777777" w:rsidR="00BC55C7" w:rsidRDefault="00BC55C7" w:rsidP="000F56FB">
      <w:pPr>
        <w:rPr>
          <w:rFonts w:ascii="Helvetica Neue Light" w:eastAsiaTheme="minorEastAsia" w:hAnsi="Helvetica Neue Light" w:cs="OpenSans"/>
          <w:lang w:val="en-US"/>
        </w:rPr>
      </w:pPr>
    </w:p>
    <w:p w14:paraId="7B2D185E" w14:textId="77777777" w:rsidR="000F56FB" w:rsidRPr="00E149D3" w:rsidRDefault="000F56FB" w:rsidP="000F56FB">
      <w:pPr>
        <w:pStyle w:val="ListParagraph"/>
        <w:spacing w:after="0"/>
        <w:rPr>
          <w:rFonts w:ascii="Helvetica Neue Light" w:hAnsi="Helvetica Neue Light" w:cs="OpenSans"/>
          <w:lang w:val="en-US"/>
        </w:rPr>
      </w:pPr>
    </w:p>
    <w:p w14:paraId="26B43F13" w14:textId="6BE490DE" w:rsidR="00C819F3" w:rsidRPr="00217E8D" w:rsidRDefault="000F56FB" w:rsidP="00217E8D">
      <w:pPr>
        <w:spacing w:after="0"/>
        <w:rPr>
          <w:rFonts w:ascii="Leelawadee UI" w:hAnsi="Leelawadee UI" w:cs="Leelawadee UI"/>
          <w:b/>
        </w:rPr>
      </w:pPr>
      <w:r w:rsidRPr="00217E8D">
        <w:rPr>
          <w:rFonts w:ascii="Leelawadee UI" w:hAnsi="Leelawadee UI" w:cs="Leelawadee UI"/>
          <w:b/>
        </w:rPr>
        <w:t xml:space="preserve">Table 1. </w:t>
      </w:r>
      <w:r w:rsidR="00817630" w:rsidRPr="00217E8D">
        <w:rPr>
          <w:rFonts w:ascii="Leelawadee UI" w:hAnsi="Leelawadee UI" w:cs="Leelawadee UI"/>
          <w:b/>
        </w:rPr>
        <w:t xml:space="preserve">Stakeholder engagement worksheet </w:t>
      </w:r>
      <w:r w:rsidRPr="00217E8D">
        <w:rPr>
          <w:rFonts w:ascii="Leelawadee UI" w:hAnsi="Leelawadee UI" w:cs="Leelawadee UI"/>
          <w:b/>
        </w:rPr>
        <w:t xml:space="preserve"> </w:t>
      </w:r>
    </w:p>
    <w:p w14:paraId="44368752" w14:textId="77777777" w:rsidR="00BD137B" w:rsidRDefault="00247A97" w:rsidP="00217E8D">
      <w:pPr>
        <w:spacing w:after="0"/>
        <w:rPr>
          <w:rFonts w:ascii="Leelawadee UI" w:hAnsi="Leelawadee UI" w:cs="Leelawadee UI"/>
          <w:b/>
        </w:rPr>
      </w:pPr>
      <w:r w:rsidRPr="00217E8D">
        <w:rPr>
          <w:rFonts w:ascii="Leelawadee UI" w:hAnsi="Leelawadee UI" w:cs="Leelawadee UI"/>
          <w:b/>
        </w:rPr>
        <w:t>Date last reviewed/revised:</w:t>
      </w:r>
    </w:p>
    <w:p w14:paraId="79A12D5E" w14:textId="7AF22842" w:rsidR="00247A97" w:rsidRPr="00217E8D" w:rsidRDefault="00247A97" w:rsidP="00217E8D">
      <w:pPr>
        <w:spacing w:after="0"/>
        <w:rPr>
          <w:rFonts w:ascii="Leelawadee UI" w:hAnsi="Leelawadee UI" w:cs="Leelawadee UI"/>
          <w:b/>
        </w:rPr>
      </w:pPr>
      <w:r w:rsidRPr="00217E8D">
        <w:rPr>
          <w:rFonts w:ascii="Leelawadee UI" w:hAnsi="Leelawadee UI" w:cs="Leelawadee UI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7"/>
        <w:gridCol w:w="2756"/>
        <w:gridCol w:w="3437"/>
      </w:tblGrid>
      <w:tr w:rsidR="00C819F3" w:rsidRPr="0059748B" w14:paraId="0D4D88A9" w14:textId="77777777" w:rsidTr="00C819F3">
        <w:tc>
          <w:tcPr>
            <w:tcW w:w="1688" w:type="pct"/>
          </w:tcPr>
          <w:p w14:paraId="5450EE61" w14:textId="361572C4" w:rsidR="00C819F3" w:rsidRPr="00E149D3" w:rsidRDefault="00C819F3" w:rsidP="001B17BD">
            <w:pPr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 xml:space="preserve">Stakeholder </w:t>
            </w:r>
          </w:p>
          <w:p w14:paraId="3FD5F001" w14:textId="29BEC2BB" w:rsidR="00C819F3" w:rsidRPr="0059748B" w:rsidRDefault="00C819F3" w:rsidP="00817630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(</w:t>
            </w:r>
            <w:r>
              <w:rPr>
                <w:rFonts w:ascii="Helvetica Neue Light" w:hAnsi="Helvetica Neue Light"/>
                <w:i/>
                <w:sz w:val="20"/>
                <w:szCs w:val="20"/>
              </w:rPr>
              <w:t>Name of person or stakeholder group, such as program manager, program participants, other community-based organizations, etc.</w:t>
            </w:r>
            <w:r w:rsidRPr="00730966">
              <w:rPr>
                <w:rFonts w:ascii="Helvetica Neue Light" w:hAnsi="Helvetica Neue Light"/>
                <w:sz w:val="20"/>
                <w:szCs w:val="20"/>
              </w:rPr>
              <w:t>)</w:t>
            </w:r>
          </w:p>
        </w:tc>
        <w:tc>
          <w:tcPr>
            <w:tcW w:w="1474" w:type="pct"/>
          </w:tcPr>
          <w:p w14:paraId="6ED47488" w14:textId="77777777" w:rsidR="00C819F3" w:rsidRDefault="009371DA" w:rsidP="00C819F3">
            <w:pPr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 xml:space="preserve">What is their interest in the evaluation? </w:t>
            </w:r>
          </w:p>
          <w:p w14:paraId="73A5F709" w14:textId="36FF5327" w:rsidR="00640DF3" w:rsidRPr="00C819F3" w:rsidRDefault="00640DF3" w:rsidP="00180414">
            <w:pPr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(</w:t>
            </w:r>
            <w:r>
              <w:rPr>
                <w:rFonts w:ascii="Helvetica Neue Light" w:hAnsi="Helvetica Neue Light"/>
                <w:i/>
                <w:sz w:val="20"/>
                <w:szCs w:val="20"/>
              </w:rPr>
              <w:t>Examples:</w:t>
            </w:r>
            <w:r w:rsidR="00180414">
              <w:rPr>
                <w:rFonts w:ascii="Helvetica Neue Light" w:hAnsi="Helvetica Neue Light"/>
                <w:i/>
                <w:sz w:val="20"/>
                <w:szCs w:val="20"/>
              </w:rPr>
              <w:t xml:space="preserve"> identifying areas for program improvement, </w:t>
            </w:r>
            <w:r w:rsidR="00BD137B">
              <w:rPr>
                <w:rFonts w:ascii="Helvetica Neue Light" w:hAnsi="Helvetica Neue Light"/>
                <w:i/>
                <w:sz w:val="20"/>
                <w:szCs w:val="20"/>
              </w:rPr>
              <w:t xml:space="preserve">are service recipients, </w:t>
            </w:r>
            <w:r w:rsidR="00E044E2">
              <w:rPr>
                <w:rFonts w:ascii="Helvetica Neue Light" w:hAnsi="Helvetica Neue Light"/>
                <w:i/>
                <w:sz w:val="20"/>
                <w:szCs w:val="20"/>
              </w:rPr>
              <w:t xml:space="preserve">potential for program replication, </w:t>
            </w:r>
            <w:r w:rsidR="00180414">
              <w:rPr>
                <w:rFonts w:ascii="Helvetica Neue Light" w:hAnsi="Helvetica Neue Light"/>
                <w:i/>
                <w:sz w:val="20"/>
                <w:szCs w:val="20"/>
              </w:rPr>
              <w:t>final evaluation findings,</w:t>
            </w:r>
            <w:r>
              <w:rPr>
                <w:rFonts w:ascii="Helvetica Neue Light" w:hAnsi="Helvetica Neue Light"/>
                <w:i/>
                <w:sz w:val="20"/>
                <w:szCs w:val="20"/>
              </w:rPr>
              <w:t xml:space="preserve"> </w:t>
            </w:r>
            <w:r w:rsidR="00180414">
              <w:rPr>
                <w:rFonts w:ascii="Helvetica Neue Light" w:hAnsi="Helvetica Neue Light"/>
                <w:i/>
                <w:sz w:val="20"/>
                <w:szCs w:val="20"/>
              </w:rPr>
              <w:t>etc.</w:t>
            </w:r>
            <w:r w:rsidR="00180414" w:rsidRPr="00180414">
              <w:rPr>
                <w:rFonts w:ascii="Helvetica Neue Light" w:hAnsi="Helvetica Neue Light"/>
                <w:sz w:val="20"/>
                <w:szCs w:val="20"/>
              </w:rPr>
              <w:t>)</w:t>
            </w:r>
          </w:p>
        </w:tc>
        <w:tc>
          <w:tcPr>
            <w:tcW w:w="1838" w:type="pct"/>
          </w:tcPr>
          <w:p w14:paraId="03DD1B02" w14:textId="77777777" w:rsidR="00C819F3" w:rsidRDefault="00C819F3" w:rsidP="001B17BD">
            <w:pPr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>How will the stakeholder be involved in the evaluation?</w:t>
            </w:r>
          </w:p>
          <w:p w14:paraId="005532CD" w14:textId="055ECE8F" w:rsidR="00C819F3" w:rsidRPr="00E149D3" w:rsidRDefault="00C819F3" w:rsidP="00C819F3">
            <w:pPr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(</w:t>
            </w:r>
            <w:r>
              <w:rPr>
                <w:rFonts w:ascii="Helvetica Neue Light" w:hAnsi="Helvetica Neue Light"/>
                <w:i/>
                <w:sz w:val="20"/>
                <w:szCs w:val="20"/>
              </w:rPr>
              <w:t>Examples: member of the Evaluation Advisory Committee, informed about evaluation, provide support, data source, etc.</w:t>
            </w:r>
            <w:r w:rsidRPr="00180414">
              <w:rPr>
                <w:rFonts w:ascii="Helvetica Neue Light" w:hAnsi="Helvetica Neue Light"/>
                <w:sz w:val="20"/>
                <w:szCs w:val="20"/>
              </w:rPr>
              <w:t>)</w:t>
            </w:r>
          </w:p>
        </w:tc>
      </w:tr>
      <w:tr w:rsidR="00C819F3" w:rsidRPr="0059748B" w14:paraId="13AE157B" w14:textId="77777777" w:rsidTr="00C819F3">
        <w:tc>
          <w:tcPr>
            <w:tcW w:w="1688" w:type="pct"/>
          </w:tcPr>
          <w:p w14:paraId="7280857F" w14:textId="77777777" w:rsidR="00C819F3" w:rsidRPr="00E149D3" w:rsidRDefault="00C819F3" w:rsidP="000F5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74" w:type="pct"/>
          </w:tcPr>
          <w:p w14:paraId="478E4BA1" w14:textId="77777777" w:rsidR="00C819F3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38F827F2" w14:textId="77777777" w:rsidR="00C819F3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23213B31" w14:textId="77777777" w:rsidR="00C819F3" w:rsidRPr="0059748B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838" w:type="pct"/>
          </w:tcPr>
          <w:p w14:paraId="4CE89D31" w14:textId="77777777" w:rsidR="00C819F3" w:rsidRPr="0059748B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819F3" w:rsidRPr="0059748B" w14:paraId="3133DA76" w14:textId="77777777" w:rsidTr="00C819F3">
        <w:tc>
          <w:tcPr>
            <w:tcW w:w="1688" w:type="pct"/>
          </w:tcPr>
          <w:p w14:paraId="187ABD9E" w14:textId="77777777" w:rsidR="00C819F3" w:rsidRPr="00E149D3" w:rsidRDefault="00C819F3" w:rsidP="000F5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74" w:type="pct"/>
          </w:tcPr>
          <w:p w14:paraId="37C91723" w14:textId="77777777" w:rsidR="00C819F3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38897128" w14:textId="77777777" w:rsidR="00C819F3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0BC6E466" w14:textId="77777777" w:rsidR="00C819F3" w:rsidRPr="0059748B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838" w:type="pct"/>
          </w:tcPr>
          <w:p w14:paraId="6834E0DD" w14:textId="77777777" w:rsidR="00C819F3" w:rsidRPr="0059748B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819F3" w:rsidRPr="0059748B" w14:paraId="70CC4E2B" w14:textId="77777777" w:rsidTr="00C819F3">
        <w:tc>
          <w:tcPr>
            <w:tcW w:w="1688" w:type="pct"/>
          </w:tcPr>
          <w:p w14:paraId="2D50AC2C" w14:textId="77777777" w:rsidR="00C819F3" w:rsidRPr="00E149D3" w:rsidRDefault="00C819F3" w:rsidP="000F5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74" w:type="pct"/>
          </w:tcPr>
          <w:p w14:paraId="0AE9DC85" w14:textId="77777777" w:rsidR="00C819F3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48BD8733" w14:textId="77777777" w:rsidR="00C819F3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29F881CD" w14:textId="77777777" w:rsidR="00C819F3" w:rsidRPr="0059748B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838" w:type="pct"/>
          </w:tcPr>
          <w:p w14:paraId="3D9859E2" w14:textId="77777777" w:rsidR="00C819F3" w:rsidRPr="0059748B" w:rsidRDefault="00C819F3" w:rsidP="001B17B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68DFC37A" w14:textId="77777777" w:rsidR="000F56FB" w:rsidRDefault="000F56FB" w:rsidP="000F56FB">
      <w:pPr>
        <w:rPr>
          <w:rFonts w:ascii="Helvetica Neue Light" w:hAnsi="Helvetica Neue Light"/>
        </w:rPr>
      </w:pPr>
    </w:p>
    <w:p w14:paraId="6B5B02E6" w14:textId="77777777" w:rsidR="000F56FB" w:rsidRDefault="000F56FB" w:rsidP="000F56FB">
      <w:pPr>
        <w:rPr>
          <w:rFonts w:ascii="Helvetica Neue Light" w:hAnsi="Helvetica Neue Light"/>
        </w:rPr>
      </w:pPr>
      <w:r w:rsidRPr="0059748B">
        <w:rPr>
          <w:rFonts w:ascii="Helvetica Neue Light" w:hAnsi="Helvetica Neue Light"/>
        </w:rPr>
        <w:t xml:space="preserve">Adapted from: </w:t>
      </w:r>
    </w:p>
    <w:p w14:paraId="7727DBC2" w14:textId="20AD4372" w:rsidR="00E15CC7" w:rsidRPr="00B27A59" w:rsidRDefault="00B27A59">
      <w:pPr>
        <w:rPr>
          <w:rFonts w:ascii="Helvetica Neue Light" w:hAnsi="Helvetica Neue Light"/>
        </w:rPr>
      </w:pPr>
      <w:r w:rsidRPr="00B27A59">
        <w:rPr>
          <w:rFonts w:ascii="Helvetica Neue Light" w:hAnsi="Helvetica Neue Light"/>
        </w:rPr>
        <w:t>Centers for Disease Control and Prevention. (2012). Introduction to Program Evaluation for Public Health Programs: A Self-Study Guide. Retrieved from: http://www.cdc.gov/eval/guide/step1/</w:t>
      </w:r>
    </w:p>
    <w:sectPr w:rsidR="00E15CC7" w:rsidRPr="00B27A5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A9B8B" w14:textId="77777777" w:rsidR="00AD2701" w:rsidRDefault="00AD2701" w:rsidP="000409EC">
      <w:pPr>
        <w:spacing w:after="0" w:line="240" w:lineRule="auto"/>
      </w:pPr>
      <w:r>
        <w:separator/>
      </w:r>
    </w:p>
  </w:endnote>
  <w:endnote w:type="continuationSeparator" w:id="0">
    <w:p w14:paraId="10CEB4CB" w14:textId="77777777" w:rsidR="00AD2701" w:rsidRDefault="00AD2701" w:rsidP="0004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altName w:val="Tahoma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60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25999" w14:textId="12DBFC5C" w:rsidR="000409EC" w:rsidRDefault="00040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0B2A1" w14:textId="77777777" w:rsidR="000409EC" w:rsidRDefault="0004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BCF9C" w14:textId="77777777" w:rsidR="00AD2701" w:rsidRDefault="00AD2701" w:rsidP="000409EC">
      <w:pPr>
        <w:spacing w:after="0" w:line="240" w:lineRule="auto"/>
      </w:pPr>
      <w:r>
        <w:separator/>
      </w:r>
    </w:p>
  </w:footnote>
  <w:footnote w:type="continuationSeparator" w:id="0">
    <w:p w14:paraId="27B0F249" w14:textId="77777777" w:rsidR="00AD2701" w:rsidRDefault="00AD2701" w:rsidP="0004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53DD"/>
    <w:multiLevelType w:val="hybridMultilevel"/>
    <w:tmpl w:val="2E9EB61A"/>
    <w:lvl w:ilvl="0" w:tplc="4830B22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F4806"/>
    <w:multiLevelType w:val="hybridMultilevel"/>
    <w:tmpl w:val="AC2C8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167B"/>
    <w:multiLevelType w:val="hybridMultilevel"/>
    <w:tmpl w:val="1FFEB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34625"/>
    <w:multiLevelType w:val="hybridMultilevel"/>
    <w:tmpl w:val="7A4631AE"/>
    <w:lvl w:ilvl="0" w:tplc="4830B22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B"/>
    <w:rsid w:val="000409EC"/>
    <w:rsid w:val="00056602"/>
    <w:rsid w:val="00062B28"/>
    <w:rsid w:val="00087BB4"/>
    <w:rsid w:val="000E58D1"/>
    <w:rsid w:val="000F56FB"/>
    <w:rsid w:val="00104CF5"/>
    <w:rsid w:val="00180414"/>
    <w:rsid w:val="001B17BD"/>
    <w:rsid w:val="00217E8D"/>
    <w:rsid w:val="00222A2C"/>
    <w:rsid w:val="00247A97"/>
    <w:rsid w:val="002504D0"/>
    <w:rsid w:val="00253FAC"/>
    <w:rsid w:val="00344CF9"/>
    <w:rsid w:val="003E3826"/>
    <w:rsid w:val="003E7D80"/>
    <w:rsid w:val="00496502"/>
    <w:rsid w:val="005272BB"/>
    <w:rsid w:val="00640DF3"/>
    <w:rsid w:val="00730966"/>
    <w:rsid w:val="007B76F7"/>
    <w:rsid w:val="007F457C"/>
    <w:rsid w:val="00817630"/>
    <w:rsid w:val="008F03FF"/>
    <w:rsid w:val="009371DA"/>
    <w:rsid w:val="00AD2701"/>
    <w:rsid w:val="00AE652B"/>
    <w:rsid w:val="00B01865"/>
    <w:rsid w:val="00B21A86"/>
    <w:rsid w:val="00B27A59"/>
    <w:rsid w:val="00BC55C7"/>
    <w:rsid w:val="00BD137B"/>
    <w:rsid w:val="00C43F12"/>
    <w:rsid w:val="00C71A8F"/>
    <w:rsid w:val="00C819F3"/>
    <w:rsid w:val="00C97595"/>
    <w:rsid w:val="00D130D4"/>
    <w:rsid w:val="00E044E2"/>
    <w:rsid w:val="00E15CC7"/>
    <w:rsid w:val="00E8589D"/>
    <w:rsid w:val="00E95D56"/>
    <w:rsid w:val="00F03890"/>
    <w:rsid w:val="00F54032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F1F11"/>
  <w15:docId w15:val="{CD84D6AE-1A6E-45C8-8B7C-C3C783E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FB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6FB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6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12"/>
    <w:rPr>
      <w:rFonts w:ascii="Segoe UI" w:eastAsiaTheme="minorHAns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9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95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95"/>
    <w:rPr>
      <w:rFonts w:eastAsiaTheme="minorHAnsi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4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EC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4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EC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programscience.ca/reach-pan-evaluation-toolkit/engaging-stakehold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Elayne Vlahaki</dc:creator>
  <cp:keywords/>
  <dc:description/>
  <cp:lastModifiedBy>Janice Duddy</cp:lastModifiedBy>
  <cp:revision>6</cp:revision>
  <dcterms:created xsi:type="dcterms:W3CDTF">2015-12-17T16:58:00Z</dcterms:created>
  <dcterms:modified xsi:type="dcterms:W3CDTF">2015-12-17T21:02:00Z</dcterms:modified>
</cp:coreProperties>
</file>